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B36A0D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B36A0D" w:rsidRPr="00344AAE" w:rsidRDefault="00B36A0D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C118C5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8C5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B36A0D" w:rsidRPr="00F01101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Default="00B36A0D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B36A0D" w:rsidRPr="000973E3" w:rsidRDefault="00B36A0D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B36A0D" w:rsidRPr="0033345E" w:rsidRDefault="00B36A0D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B36A0D" w:rsidRPr="0033345E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B36A0D" w:rsidRPr="0033345E" w:rsidRDefault="00B36A0D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B36A0D" w:rsidRPr="0033345E" w:rsidRDefault="00B36A0D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B36A0D" w:rsidRPr="0033345E" w:rsidRDefault="00B36A0D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B36A0D" w:rsidRPr="0033345E" w:rsidRDefault="00B36A0D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B36A0D" w:rsidRPr="0033345E" w:rsidRDefault="00B36A0D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B36A0D" w:rsidRPr="0033345E" w:rsidRDefault="00B36A0D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B36A0D" w:rsidRPr="0033345E" w:rsidRDefault="00B36A0D" w:rsidP="0093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A82D05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D05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B36A0D" w:rsidRPr="00344AAE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Default="00B36A0D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B36A0D" w:rsidRPr="00936345" w:rsidRDefault="00B36A0D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Default="00B36A0D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B36A0D" w:rsidRPr="00C142AA" w:rsidRDefault="00B36A0D" w:rsidP="00C142AA">
            <w:pPr>
              <w:pStyle w:val="BodyTextIndent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B36A0D" w:rsidRPr="000973E3" w:rsidRDefault="00B36A0D" w:rsidP="000973E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B36A0D" w:rsidRPr="002F46FD" w:rsidRDefault="00B36A0D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44AAE" w:rsidRDefault="00B36A0D" w:rsidP="002A0D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Компьютерная графика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08.03.01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В.П. Рыбачек Система архитектурного  проектирования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15, ч.1,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учебное пособие по дисциплине «К</w:t>
            </w:r>
            <w:r>
              <w:rPr>
                <w:rFonts w:ascii="Times New Roman" w:hAnsi="Times New Roman"/>
                <w:sz w:val="20"/>
                <w:szCs w:val="20"/>
              </w:rPr>
              <w:t>омпьютерная графика!, 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моделирование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версии12. Методические указания к практическим занятиям по  дисциплине «Компьютерная графика»,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936345" w:rsidRDefault="00B36A0D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Рыбачек В.П.Учебное пособие по САПР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Рыбачек В.П.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для проведения практических занятий по дисциплине «Компьютерная графика» с использованием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C142AA" w:rsidRDefault="00B36A0D" w:rsidP="00C142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5.Рыбачек В.П.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архитектурного проектирования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ArchiCAD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17. Часть 2 Создание проектов в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.Учебное пособие по дисциплине</w:t>
            </w:r>
            <w:r w:rsidRPr="00C14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>«Компьютерная графика»</w:t>
            </w:r>
            <w:r>
              <w:rPr>
                <w:rFonts w:ascii="Times New Roman" w:hAnsi="Times New Roman"/>
                <w:sz w:val="20"/>
                <w:szCs w:val="20"/>
              </w:rPr>
              <w:t>, 2015.</w:t>
            </w:r>
          </w:p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А.Н.Методические указания к практическим занятиям по дисциплинам «Основы новых компьютерных технологий» и «Компьютерная графика» «Трехмерное твердотельное моделиров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ние в автоматизированном комплексе T-FLEX версии 14. Часть 2»,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36A0D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Физика жидкости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08.03.01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D43EFA" w:rsidRDefault="00B36A0D" w:rsidP="00D43EF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2727E9" w:rsidRDefault="00B36A0D" w:rsidP="002727E9"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 Методические указания к практическим занятиям по дисциплине  «Физика жи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д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кости»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«Влажность воздуха и свойства насыщенных паров. Особенности процессов испарения и кипения» 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57B1">
              <w:t xml:space="preserve"> 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A82D05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D05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A82D05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82D05">
              <w:rPr>
                <w:rFonts w:ascii="Times New Roman" w:hAnsi="Times New Roman"/>
                <w:sz w:val="20"/>
                <w:szCs w:val="20"/>
                <w:lang w:eastAsia="ru-RU"/>
              </w:rPr>
              <w:t>08.03.01</w:t>
            </w:r>
          </w:p>
          <w:p w:rsidR="00B36A0D" w:rsidRPr="00A82D05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A82D05" w:rsidRDefault="00B36A0D" w:rsidP="00D43EF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 жидкости и газов. Лабораторный практикум по дисциплинам «Физика», «Прикладная физика», «Физика жидкости», 2014.</w:t>
            </w:r>
          </w:p>
          <w:p w:rsidR="00B36A0D" w:rsidRPr="00A82D05" w:rsidRDefault="00B36A0D" w:rsidP="002E447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ния к лабораторной работе по физике, 2014.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2014.</w:t>
            </w:r>
          </w:p>
          <w:p w:rsidR="00B36A0D" w:rsidRPr="00A82D05" w:rsidRDefault="00B36A0D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4.Мельник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 пра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к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тикум по физике , 2015.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Учебно-методическое пособие, 2016.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нию лабораторных работ, 2016.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7. Мельник Г.И., Тинина Е.В., Трунина О.Е Магнетизм. Методические указания по выполнению лабораторных работ, 2016.</w:t>
            </w:r>
          </w:p>
          <w:p w:rsidR="00B36A0D" w:rsidRPr="00A82D05" w:rsidRDefault="00B36A0D" w:rsidP="009C2193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8. Мельник Г.И., Тинина Е.В., Трунина О.Е Методические указания к проведению практических занятий по физике с применением СДО MOODLE (часть 1), 2016.</w:t>
            </w:r>
          </w:p>
          <w:p w:rsidR="00B36A0D" w:rsidRPr="00A82D05" w:rsidRDefault="00B36A0D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9. Мельник Г.И., Трунина О.Е., Тинина Е.В Учебное пособие «Задания для подготовки к Инте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2015.</w:t>
            </w:r>
          </w:p>
          <w:p w:rsidR="00B36A0D" w:rsidRPr="00A82D05" w:rsidRDefault="00B36A0D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10. 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2014.</w:t>
            </w:r>
          </w:p>
          <w:p w:rsidR="00B36A0D" w:rsidRPr="00A82D05" w:rsidRDefault="00B36A0D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A82D05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A82D05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2014.</w:t>
            </w:r>
          </w:p>
          <w:p w:rsidR="00B36A0D" w:rsidRPr="00A82D05" w:rsidRDefault="00B36A0D" w:rsidP="00A453CA">
            <w:pPr>
              <w:pStyle w:val="Header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12. Компьютерный практикум по дисциплине «Прикладная физика, часть 1»: /составитель Мел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шиностроительный университет (МАМИ)», 2015.</w:t>
            </w:r>
          </w:p>
          <w:p w:rsidR="00B36A0D" w:rsidRPr="00A82D05" w:rsidRDefault="00B36A0D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12. Мельник Г.И., Тинина Е.В., Трунина О.Е.Методические указания к лабораторным работам по теме «Поляризация», 2016.</w:t>
            </w:r>
          </w:p>
          <w:p w:rsidR="00B36A0D" w:rsidRPr="00A82D05" w:rsidRDefault="00B36A0D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13. Трунина О.Е., Мельник Г.И.Методические указания к практическим занятиям по физике с и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с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A82D0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 xml:space="preserve">  (Часть 1), 2016.</w:t>
            </w:r>
          </w:p>
          <w:p w:rsidR="00B36A0D" w:rsidRPr="00A82D05" w:rsidRDefault="00B36A0D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14. Мельник Г.И., Тинина Е.В., Трунина О.Е.Методические указания к лабораторным работам по теме «Интерференция», 2016.</w:t>
            </w:r>
          </w:p>
          <w:p w:rsidR="00B36A0D" w:rsidRPr="00A82D05" w:rsidRDefault="00B36A0D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15. Мельник Г.И., Тинина Е.В., Трунина О.Е.Методические указания к лабораторным работам по теме «Дифракция», 2017.</w:t>
            </w:r>
          </w:p>
          <w:p w:rsidR="00B36A0D" w:rsidRPr="00A82D05" w:rsidRDefault="00B36A0D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16. Мельник, Г.И. Интерференция. Лабораторный практикум по физике / Г.И. Мельник, Е.В. Тин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82D05">
              <w:rPr>
                <w:rFonts w:ascii="Times New Roman" w:hAnsi="Times New Roman"/>
                <w:sz w:val="20"/>
                <w:szCs w:val="20"/>
              </w:rPr>
              <w:t>верситета, 2017.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A82D05" w:rsidRDefault="00B36A0D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A82D05">
              <w:rPr>
                <w:rFonts w:ascii="Times New Roman" w:hAnsi="Times New Roman"/>
                <w:sz w:val="18"/>
                <w:szCs w:val="20"/>
                <w:lang w:eastAsia="ru-RU"/>
              </w:rPr>
              <w:t>Химия</w:t>
            </w:r>
          </w:p>
          <w:p w:rsidR="00B36A0D" w:rsidRPr="00A82D05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A82D05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82D05">
              <w:rPr>
                <w:rFonts w:ascii="Times New Roman" w:hAnsi="Times New Roman"/>
                <w:sz w:val="20"/>
                <w:szCs w:val="20"/>
                <w:lang w:eastAsia="ru-RU"/>
              </w:rPr>
              <w:t>08.03.01</w:t>
            </w:r>
          </w:p>
          <w:p w:rsidR="00B36A0D" w:rsidRPr="00A82D05" w:rsidRDefault="00B36A0D" w:rsidP="00F01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A82D05" w:rsidRDefault="00B36A0D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1. Яковлев А.И., Лызлова М.В., Воробьева Е.В. Химия. Методические указания по выполнению самостоятельной работы студентов - бакалавров  всех форм обучения, 2013</w:t>
            </w:r>
          </w:p>
          <w:p w:rsidR="00B36A0D" w:rsidRPr="00A82D05" w:rsidRDefault="00B36A0D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2D05">
              <w:rPr>
                <w:rFonts w:ascii="Times New Roman" w:hAnsi="Times New Roman"/>
                <w:sz w:val="20"/>
                <w:szCs w:val="20"/>
              </w:rPr>
              <w:t>2. Воробьева Е.В.Методические указания для выполнения лабораторных работ по дисциплине «Химия» с использованием УЛК, 2017.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Строительная 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D43EFA" w:rsidRDefault="00B36A0D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 Методические указания к практическим занятиям по дисциплине «Строительная физика» 08.03.01  ПГС   Части 3, 4,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A0D" w:rsidRPr="00D43EFA" w:rsidRDefault="00B36A0D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Е.В.Методические указания к практическим занятиям по дисциплине  «Строительная физика» 08.05.01 Часть 5,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36A0D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144D96" w:rsidRDefault="00B36A0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Экологические задачи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  <w:p w:rsidR="00B36A0D" w:rsidRPr="00344AAE" w:rsidRDefault="00B36A0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Default="00B36A0D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B36A0D" w:rsidRDefault="00B36A0D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B36A0D" w:rsidRPr="00FF5F54" w:rsidRDefault="00B36A0D" w:rsidP="00FF5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</w:tc>
      </w:tr>
      <w:tr w:rsidR="00B36A0D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344AAE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обеспечение проектирования си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тем теплогазоснабжения и вентиляции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344AAE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Default="00B36A0D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Гордеева Е.Л.Инженерные расчеты в MathCAD. Учебное пособие. Университет машиностроения (МАМИ), каф. «Информационные системы и дистанционные технологии» М., Ун-т машиностро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ния, 2013</w:t>
            </w:r>
          </w:p>
          <w:p w:rsidR="00B36A0D" w:rsidRDefault="00B36A0D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Редикульцева Н.И.Прикладное программное обеспечение. Учебное пособие. Университет маш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027F5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(МАМИ), Факультет кибернетики и информационных технологий, каф. «Прикладная математика» М., Ун-т машиностроения, 2013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Русанова Е.М.Методы решения задач прочности с помощью вычислительной техники. Учебное пособие. Университет машиностроения (МАМИ), каф. «Строительная механика», М., Ун-т маш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ностроения, 2014</w:t>
            </w:r>
          </w:p>
          <w:p w:rsidR="00B36A0D" w:rsidRPr="00A027F5" w:rsidRDefault="00B36A0D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FF5F54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 воздушного бассейна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FF5F54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Аналитические методы экологического мониторинга. Электронный ресурс, учебное пособие по курсу «Методы и приборы экологического контроля и экологический мониторинг» для студентов, обучающихся по специальности 280202.65 под ред. Е. В. Сотниковой ; МГТУ «МАМИ», каф. «Экология и безопасность жизнедеятельности» М., МГТУ «МАМИ», 2011</w:t>
            </w:r>
          </w:p>
          <w:p w:rsidR="00B36A0D" w:rsidRPr="00FF5F54" w:rsidRDefault="00B36A0D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Молдаванов О.И.История и методология науки в области защиты окружающей среды. Учебное пособие, Университет машиностроения (МАМИ), каф. «Инженерная экология городского хозя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ства» М., Ун-т машиностроения, 2013</w:t>
            </w:r>
          </w:p>
        </w:tc>
      </w:tr>
      <w:tr w:rsidR="00B36A0D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Pr="00FF5F54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Нормативное обеспечение атмосферно-охранной деятельности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6A0D" w:rsidRPr="00FF5F54" w:rsidRDefault="00B36A0D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0D" w:rsidRDefault="00B36A0D" w:rsidP="00F011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Губонина З.И.Экологический менеджмент и экологическое аудирование. Методические указ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водств» М., Ун-т машиностроения, 2014</w:t>
            </w:r>
          </w:p>
          <w:p w:rsidR="00B36A0D" w:rsidRPr="00FF5F54" w:rsidRDefault="00B36A0D" w:rsidP="00F011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Продан В.Д.Герметичность оборудования. Электронный ресурс, учебное пособие, Университет машиностроения (МАМИ), каф. ЮНЕСКО «Техника экологически чистых производств» М.,Ун-т машиностроения,2014</w:t>
            </w:r>
          </w:p>
          <w:p w:rsidR="00B36A0D" w:rsidRPr="00FF5F54" w:rsidRDefault="00B36A0D" w:rsidP="00F011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3. Милюков А.С.Методические указания для проведения практических занятий по дисц. «Упра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ление охраной окружающей среды» для студ. спец. 330200 под ред. М.В. Графкиной ; МГТУ «МАМИ», каф. «Экология и безопасность жизнедеятельности» М., МГТУ «МАМИ»,2008</w:t>
            </w:r>
          </w:p>
        </w:tc>
      </w:tr>
    </w:tbl>
    <w:p w:rsidR="00B36A0D" w:rsidRPr="00DE26A9" w:rsidRDefault="00B36A0D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36A0D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0D" w:rsidRDefault="00B36A0D" w:rsidP="002376A6">
      <w:pPr>
        <w:spacing w:after="0" w:line="240" w:lineRule="auto"/>
      </w:pPr>
      <w:r>
        <w:separator/>
      </w:r>
    </w:p>
  </w:endnote>
  <w:endnote w:type="continuationSeparator" w:id="0">
    <w:p w:rsidR="00B36A0D" w:rsidRDefault="00B36A0D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0D" w:rsidRDefault="00B36A0D" w:rsidP="002376A6">
    <w:pPr>
      <w:pStyle w:val="Footer"/>
      <w:jc w:val="center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0D" w:rsidRDefault="00B36A0D" w:rsidP="002376A6">
      <w:pPr>
        <w:spacing w:after="0" w:line="240" w:lineRule="auto"/>
      </w:pPr>
      <w:r>
        <w:separator/>
      </w:r>
    </w:p>
  </w:footnote>
  <w:footnote w:type="continuationSeparator" w:id="0">
    <w:p w:rsidR="00B36A0D" w:rsidRDefault="00B36A0D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0D" w:rsidRDefault="00B36A0D" w:rsidP="00C61786">
    <w:pPr>
      <w:pStyle w:val="Header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4D96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17417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608E5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74A72"/>
    <w:rsid w:val="009750A9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82D05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A0D"/>
    <w:rsid w:val="00B36FDE"/>
    <w:rsid w:val="00B53235"/>
    <w:rsid w:val="00B664BC"/>
    <w:rsid w:val="00B9374D"/>
    <w:rsid w:val="00B96A8C"/>
    <w:rsid w:val="00B97043"/>
    <w:rsid w:val="00BA15AB"/>
    <w:rsid w:val="00BA1CE9"/>
    <w:rsid w:val="00BA76B0"/>
    <w:rsid w:val="00BB7BE8"/>
    <w:rsid w:val="00BD1233"/>
    <w:rsid w:val="00BE110C"/>
    <w:rsid w:val="00BE3A91"/>
    <w:rsid w:val="00BE63F2"/>
    <w:rsid w:val="00C11147"/>
    <w:rsid w:val="00C118C5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4FEC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778B8"/>
    <w:rsid w:val="00E920C8"/>
    <w:rsid w:val="00EA1D31"/>
    <w:rsid w:val="00EA33FB"/>
    <w:rsid w:val="00EA52EE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8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6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table" w:styleId="TableGrid">
    <w:name w:val="Table Grid"/>
    <w:basedOn w:val="TableNormal"/>
    <w:uiPriority w:val="99"/>
    <w:locked/>
    <w:rsid w:val="00A453C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7FEF"/>
    <w:rPr>
      <w:rFonts w:cs="Times New Roman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NormalWeb">
    <w:name w:val="Normal (Web)"/>
    <w:basedOn w:val="Normal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1877</TotalTime>
  <Pages>6</Pages>
  <Words>2360</Words>
  <Characters>13458</Characters>
  <Application>Microsoft Office Outlook</Application>
  <DocSecurity>0</DocSecurity>
  <Lines>0</Lines>
  <Paragraphs>0</Paragraphs>
  <ScaleCrop>false</ScaleCrop>
  <Company>Hautamyak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hm2</cp:lastModifiedBy>
  <cp:revision>82</cp:revision>
  <dcterms:created xsi:type="dcterms:W3CDTF">2017-09-26T16:40:00Z</dcterms:created>
  <dcterms:modified xsi:type="dcterms:W3CDTF">2018-01-11T07:20:00Z</dcterms:modified>
</cp:coreProperties>
</file>